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A51F58">
        <w:rPr>
          <w:b/>
        </w:rPr>
        <w:t>10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A51F58">
        <w:rPr>
          <w:b/>
        </w:rPr>
        <w:t>06</w:t>
      </w:r>
      <w:r w:rsidR="009E1714">
        <w:rPr>
          <w:b/>
        </w:rPr>
        <w:t>/</w:t>
      </w:r>
      <w:r w:rsidR="006D1CCA">
        <w:rPr>
          <w:b/>
        </w:rPr>
        <w:t>08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6D1CCA">
        <w:rPr>
          <w:b/>
        </w:rPr>
        <w:t>11</w:t>
      </w:r>
      <w:r w:rsidR="009021A4">
        <w:rPr>
          <w:b/>
        </w:rPr>
        <w:t>:</w:t>
      </w:r>
      <w:r w:rsidR="0060773D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2391D">
        <w:rPr>
          <w:b/>
        </w:rPr>
        <w:t xml:space="preserve">do conselho de direção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6D1CCA" w:rsidRPr="006D1CCA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6D1CCA" w:rsidRPr="006D1CCA">
        <w:t xml:space="preserve">Eduardo Lucena, Roberto </w:t>
      </w:r>
      <w:proofErr w:type="spellStart"/>
      <w:r w:rsidR="006D1CCA" w:rsidRPr="006D1CCA">
        <w:t>Caffaro</w:t>
      </w:r>
      <w:proofErr w:type="spellEnd"/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6D1CCA">
        <w:t>Cleuda</w:t>
      </w:r>
      <w:proofErr w:type="spellEnd"/>
      <w:r w:rsidR="006D1CCA">
        <w:t xml:space="preserve"> Freire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6D1CCA" w:rsidRPr="006D1CCA">
        <w:t>Denis Duda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A51F58" w:rsidP="00D65E0A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Edital FAPEAL para apoio aos Programas de Pós-Graduação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8D4" w:rsidRDefault="006058D4" w:rsidP="000749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informou sobre o Edital FAPEAL/CAPES para apoio aos Programas de Pós-Graduação e colocou que seria uma oportunidade de tentar negociar com os colegas da Engenharia Química a troca de espaço físico entre o LSA localizado no NPT e o laboratório de Engenharia Química localizado no prédio do PPGRHS na tentativa de colocar todos os laboratórios do PPGRHS em um único prédio</w:t>
            </w:r>
            <w:r w:rsidR="000749DC">
              <w:rPr>
                <w:bCs/>
              </w:rPr>
              <w:t>.</w:t>
            </w:r>
            <w:r>
              <w:rPr>
                <w:bCs/>
              </w:rPr>
              <w:t xml:space="preserve"> Todos foram favoráveis a ideia e uma comissão</w:t>
            </w:r>
            <w:r w:rsidR="003340F7">
              <w:rPr>
                <w:bCs/>
              </w:rPr>
              <w:t>,</w:t>
            </w:r>
            <w:r>
              <w:rPr>
                <w:bCs/>
              </w:rPr>
              <w:t xml:space="preserve"> formada pelos professores Carlos </w:t>
            </w:r>
            <w:proofErr w:type="spellStart"/>
            <w:r>
              <w:rPr>
                <w:bCs/>
              </w:rPr>
              <w:t>Ruberto</w:t>
            </w:r>
            <w:proofErr w:type="spellEnd"/>
            <w:r>
              <w:rPr>
                <w:bCs/>
              </w:rPr>
              <w:t xml:space="preserve">, Roberto </w:t>
            </w:r>
            <w:proofErr w:type="spellStart"/>
            <w:r>
              <w:rPr>
                <w:bCs/>
              </w:rPr>
              <w:t>Caffaro</w:t>
            </w:r>
            <w:proofErr w:type="spellEnd"/>
            <w:r>
              <w:rPr>
                <w:bCs/>
              </w:rPr>
              <w:t xml:space="preserve"> e Eduardo Lucena</w:t>
            </w:r>
            <w:r w:rsidR="003340F7">
              <w:rPr>
                <w:bCs/>
              </w:rPr>
              <w:t>,</w:t>
            </w:r>
            <w:r>
              <w:rPr>
                <w:bCs/>
              </w:rPr>
              <w:t xml:space="preserve"> foi criada para negociar a troca de espaço físico com os coordenadores do</w:t>
            </w:r>
            <w:r w:rsidR="003340F7">
              <w:rPr>
                <w:bCs/>
              </w:rPr>
              <w:t xml:space="preserve"> Laboratório de Eng. Química</w:t>
            </w:r>
            <w:r>
              <w:rPr>
                <w:bCs/>
              </w:rPr>
              <w:t xml:space="preserve"> </w:t>
            </w:r>
            <w:r w:rsidR="003340F7">
              <w:rPr>
                <w:bCs/>
              </w:rPr>
              <w:t>(</w:t>
            </w:r>
            <w:r>
              <w:rPr>
                <w:bCs/>
              </w:rPr>
              <w:t>Professores Jorge Brito e Renata</w:t>
            </w:r>
            <w:r w:rsidR="003340F7">
              <w:rPr>
                <w:bCs/>
              </w:rPr>
              <w:t>) e o Colegiado do Curso de Eng. Química</w:t>
            </w:r>
            <w:r>
              <w:rPr>
                <w:bCs/>
              </w:rPr>
              <w:t xml:space="preserve">. </w:t>
            </w:r>
          </w:p>
          <w:p w:rsidR="0082755E" w:rsidRPr="0015700C" w:rsidRDefault="006058D4" w:rsidP="000749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decidido que o PPGRHS irá submeter uma proposta visando a reforma e acessibilidade (construção da rampa)</w:t>
            </w:r>
            <w:r w:rsidR="000749DC">
              <w:rPr>
                <w:bCs/>
              </w:rPr>
              <w:t xml:space="preserve"> </w:t>
            </w:r>
            <w:r>
              <w:rPr>
                <w:bCs/>
              </w:rPr>
              <w:t>do LSA.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A51F58" w:rsidP="001F77CB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Reforma do prédio do PPGRHS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DC" w:rsidRDefault="003340F7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reforma do prédio do PPGRHS (ampliação da rede lógica, elétrica e adaptações de espaço físico) que poderão ser custeadas com recursos do Projeto de Pesquisa PROCAD serão discutidas em uma próxima oportunidade após </w:t>
            </w:r>
            <w:r w:rsidR="006C0B1D">
              <w:rPr>
                <w:bCs/>
              </w:rPr>
              <w:t>posicionamento do Colegiado do Curso de Engenharia Química sobre a troca de laboratórios</w:t>
            </w:r>
            <w:r w:rsidR="000749DC">
              <w:rPr>
                <w:bCs/>
              </w:rPr>
              <w:t>.</w:t>
            </w:r>
          </w:p>
          <w:p w:rsidR="003D241E" w:rsidRDefault="003D241E" w:rsidP="00162D04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A3D4D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423" w:rsidRDefault="00940423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  <w:p w:rsidR="00DA466E" w:rsidRPr="002903A4" w:rsidRDefault="00DA466E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4A" w:rsidRDefault="0057194A" w:rsidP="008164A8">
      <w:r>
        <w:separator/>
      </w:r>
    </w:p>
  </w:endnote>
  <w:endnote w:type="continuationSeparator" w:id="0">
    <w:p w:rsidR="0057194A" w:rsidRDefault="0057194A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4A" w:rsidRDefault="0057194A" w:rsidP="008164A8">
      <w:r>
        <w:separator/>
      </w:r>
    </w:p>
  </w:footnote>
  <w:footnote w:type="continuationSeparator" w:id="0">
    <w:p w:rsidR="0057194A" w:rsidRDefault="0057194A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352598" w:rsidRPr="008164A8">
      <w:tc>
        <w:tcPr>
          <w:tcW w:w="1536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598" w:rsidRPr="008164A8" w:rsidRDefault="00352598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195A"/>
    <w:rsid w:val="001538C1"/>
    <w:rsid w:val="0015700C"/>
    <w:rsid w:val="00162D04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B72AF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03E2"/>
    <w:rsid w:val="00325358"/>
    <w:rsid w:val="00326179"/>
    <w:rsid w:val="00330F2B"/>
    <w:rsid w:val="00331040"/>
    <w:rsid w:val="003323CD"/>
    <w:rsid w:val="003340F7"/>
    <w:rsid w:val="00334AAA"/>
    <w:rsid w:val="00334DB9"/>
    <w:rsid w:val="00335352"/>
    <w:rsid w:val="00341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1E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21D5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0D0C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72D5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194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7C9B"/>
    <w:rsid w:val="00587FB0"/>
    <w:rsid w:val="00591396"/>
    <w:rsid w:val="00594483"/>
    <w:rsid w:val="005A2DBF"/>
    <w:rsid w:val="005A640F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058D4"/>
    <w:rsid w:val="0060773D"/>
    <w:rsid w:val="00616CC0"/>
    <w:rsid w:val="0062391D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A509D"/>
    <w:rsid w:val="006B06CE"/>
    <w:rsid w:val="006B17AB"/>
    <w:rsid w:val="006B545A"/>
    <w:rsid w:val="006B6EF9"/>
    <w:rsid w:val="006B70DF"/>
    <w:rsid w:val="006C0B1D"/>
    <w:rsid w:val="006C1C7C"/>
    <w:rsid w:val="006C28F5"/>
    <w:rsid w:val="006C3BFC"/>
    <w:rsid w:val="006D1CCA"/>
    <w:rsid w:val="006D1E31"/>
    <w:rsid w:val="006D22B0"/>
    <w:rsid w:val="006D3240"/>
    <w:rsid w:val="006D3E7C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3528"/>
    <w:rsid w:val="007E46B6"/>
    <w:rsid w:val="007E62FB"/>
    <w:rsid w:val="007E75B5"/>
    <w:rsid w:val="007F11B5"/>
    <w:rsid w:val="007F230D"/>
    <w:rsid w:val="007F2B35"/>
    <w:rsid w:val="0080114B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5597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099F"/>
    <w:rsid w:val="009117D8"/>
    <w:rsid w:val="00911D29"/>
    <w:rsid w:val="00912066"/>
    <w:rsid w:val="00917940"/>
    <w:rsid w:val="0092009A"/>
    <w:rsid w:val="009260DD"/>
    <w:rsid w:val="009302E9"/>
    <w:rsid w:val="0093562C"/>
    <w:rsid w:val="00940423"/>
    <w:rsid w:val="0094200D"/>
    <w:rsid w:val="00942B97"/>
    <w:rsid w:val="00943D94"/>
    <w:rsid w:val="00945C56"/>
    <w:rsid w:val="00952141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0C8C"/>
    <w:rsid w:val="009B2365"/>
    <w:rsid w:val="009B49D9"/>
    <w:rsid w:val="009B5EAC"/>
    <w:rsid w:val="009C08B2"/>
    <w:rsid w:val="009C413F"/>
    <w:rsid w:val="009C7B4F"/>
    <w:rsid w:val="009D0105"/>
    <w:rsid w:val="009D7F81"/>
    <w:rsid w:val="009E1714"/>
    <w:rsid w:val="009E2B2A"/>
    <w:rsid w:val="009F09D3"/>
    <w:rsid w:val="009F1418"/>
    <w:rsid w:val="009F2BE2"/>
    <w:rsid w:val="009F2E6D"/>
    <w:rsid w:val="009F42E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0996"/>
    <w:rsid w:val="00A51A4D"/>
    <w:rsid w:val="00A51F58"/>
    <w:rsid w:val="00A52E2A"/>
    <w:rsid w:val="00A5324E"/>
    <w:rsid w:val="00A5583F"/>
    <w:rsid w:val="00A56380"/>
    <w:rsid w:val="00A5793B"/>
    <w:rsid w:val="00A579A0"/>
    <w:rsid w:val="00A648DE"/>
    <w:rsid w:val="00A67A95"/>
    <w:rsid w:val="00A756B5"/>
    <w:rsid w:val="00A82330"/>
    <w:rsid w:val="00A8551D"/>
    <w:rsid w:val="00A907DF"/>
    <w:rsid w:val="00A90D6A"/>
    <w:rsid w:val="00A93493"/>
    <w:rsid w:val="00AA334D"/>
    <w:rsid w:val="00AA3D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228"/>
    <w:rsid w:val="00C51300"/>
    <w:rsid w:val="00C532C6"/>
    <w:rsid w:val="00C56D5A"/>
    <w:rsid w:val="00C648F2"/>
    <w:rsid w:val="00C65B1E"/>
    <w:rsid w:val="00C72B79"/>
    <w:rsid w:val="00C7631E"/>
    <w:rsid w:val="00C764F0"/>
    <w:rsid w:val="00C829D3"/>
    <w:rsid w:val="00C86045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52031"/>
    <w:rsid w:val="00D53488"/>
    <w:rsid w:val="00D55670"/>
    <w:rsid w:val="00D5582F"/>
    <w:rsid w:val="00D55EFB"/>
    <w:rsid w:val="00D61B13"/>
    <w:rsid w:val="00D65E0A"/>
    <w:rsid w:val="00D65F6B"/>
    <w:rsid w:val="00D719BA"/>
    <w:rsid w:val="00D81973"/>
    <w:rsid w:val="00D84231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7D61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175B5"/>
    <w:rsid w:val="00E21222"/>
    <w:rsid w:val="00E25765"/>
    <w:rsid w:val="00E2754E"/>
    <w:rsid w:val="00E302F9"/>
    <w:rsid w:val="00E31447"/>
    <w:rsid w:val="00E348FC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4987"/>
    <w:rsid w:val="00F25060"/>
    <w:rsid w:val="00F27036"/>
    <w:rsid w:val="00F348FA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46EC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08CE-61F3-4E42-97A7-08E7033F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7</cp:revision>
  <dcterms:created xsi:type="dcterms:W3CDTF">2013-08-06T14:08:00Z</dcterms:created>
  <dcterms:modified xsi:type="dcterms:W3CDTF">2013-09-18T16:58:00Z</dcterms:modified>
</cp:coreProperties>
</file>